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四维图语·AI 能力与物联网接入说明</w:t>
      </w:r>
    </w:p>
    <w:p>
      <w:pPr>
        <w:pStyle w:val="Heading1"/>
      </w:pPr>
      <w:r>
        <w:t>一、AI 能力矩阵</w:t>
      </w:r>
    </w:p>
    <w:p>
      <w:pPr>
        <w:pStyle w:val="ListBullet"/>
      </w:pPr>
      <w:r>
        <w:t>AI 视频安全监控:实时视频流接入,对未授权进入、防护缺失、行为异常等多类违规进行视觉检测,自动产生告警并转工单闭环</w:t>
      </w:r>
    </w:p>
    <w:p>
      <w:pPr>
        <w:pStyle w:val="ListBullet"/>
      </w:pPr>
      <w:r>
        <w:t>AI 巡检:巡检任务智能执行与研判,巡检记录、问题发现与整改全程留痕</w:t>
      </w:r>
    </w:p>
    <w:p>
      <w:pPr>
        <w:pStyle w:val="ListBullet"/>
      </w:pPr>
      <w:r>
        <w:t>大模型联动:检测研判、报告生成、知识问答场景与大语言模型服务对接,提示词模板可配置管理</w:t>
      </w:r>
    </w:p>
    <w:p>
      <w:pPr>
        <w:pStyle w:val="ListBullet"/>
      </w:pPr>
      <w:r>
        <w:t>数字孪生与 3D 可视化:实验室全景、设备定位、隐患定位、声光报警联动与应急疏散指引</w:t>
      </w:r>
    </w:p>
    <w:p>
      <w:pPr>
        <w:pStyle w:val="Heading1"/>
      </w:pPr>
      <w:r>
        <w:t>二、物联网协议接入能力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b/>
                <w:color w:val="1B2340"/>
                <w:sz w:val="19"/>
              </w:rPr>
              <w:t>协议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b/>
                <w:color w:val="1B2340"/>
                <w:sz w:val="19"/>
              </w:rPr>
              <w:t>典型场景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MQTT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传感器、智能网关轻量化上报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Modbus TCP / Modbus RTU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环境仪表、PLC、空调新风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OPC UA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分析仪器、产线设备与上位系统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HTTP / WebSocket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第三方系统对接、数据实时推送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串口透传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老旧串口设备不停机联网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BACnet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楼宇自控、门禁、空调系统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DL/T645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电表自动抄表与能耗分项计量</w:t>
            </w:r>
          </w:p>
        </w:tc>
      </w:tr>
      <w:tr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视频流(含海康等主流设备)</w:t>
            </w:r>
          </w:p>
        </w:tc>
        <w:tc>
          <w:tcPr>
            <w:tcW w:type="dxa" w:w="4320"/>
          </w:tcPr>
          <w:p>
            <w:r>
              <w:rPr>
                <w:rFonts w:ascii="微软雅黑" w:hAnsi="微软雅黑" w:eastAsia="微软雅黑"/>
                <w:sz w:val="19"/>
              </w:rPr>
              <w:t>监控画面接入与 AI 分析</w:t>
            </w:r>
          </w:p>
        </w:tc>
      </w:tr>
    </w:tbl>
    <w:p>
      <w:pPr>
        <w:pStyle w:val="Heading1"/>
      </w:pPr>
      <w:r>
        <w:t>三、数据链路与应用</w:t>
      </w:r>
    </w:p>
    <w:p>
      <w:r>
        <w:t>设备数据经网关采集后,由物模型标准化,进入规则引擎完成阈值判断与设备联动(如气体超标自动启动排风),同步支撑实时监测大屏、能耗分项计量与成本分析、碳排放自动折算(电力碳排放因子默认 0.5839 tCO₂/MWh,可按地区政策调整),最终沉淀为管理报表与审计追溯依据。</w:t>
      </w:r>
    </w:p>
    <w:p>
      <w:pPr>
        <w:pStyle w:val="Heading1"/>
      </w:pPr>
      <w:r>
        <w:t>四、可靠性与安全设计</w:t>
      </w:r>
    </w:p>
    <w:p>
      <w:pPr>
        <w:pStyle w:val="ListBullet"/>
      </w:pPr>
      <w:r>
        <w:t>协议解析与指令下发全程留痕,关键操作可追溯</w:t>
      </w:r>
    </w:p>
    <w:p>
      <w:pPr>
        <w:pStyle w:val="ListBullet"/>
      </w:pPr>
      <w:r>
        <w:t>采集异常自动告警,断点续传保障数据完整</w:t>
      </w:r>
    </w:p>
    <w:p>
      <w:pPr>
        <w:pStyle w:val="ListBullet"/>
      </w:pPr>
      <w:r>
        <w:t>接口层参数校验与多层防御设计,权限细粒度控制</w:t>
      </w:r>
    </w:p>
    <w:p>
      <w:pPr>
        <w:pStyle w:val="ListBullet"/>
      </w:pPr>
      <w:r>
        <w:t>告警响应链路典型项目实测口径:超标报警响应 &lt;3 秒(依赖现场设备与网络条件)</w:t>
      </w:r>
    </w:p>
    <w:p>
      <w:r>
        <w:t>注:文中效率/成本类数字为典型项目实施后的预期效果参考值,具体以实际项目评估为准。</w:t>
      </w:r>
    </w:p>
    <w:p/>
    <w:p>
      <w:pPr>
        <w:pStyle w:val="Heading1"/>
      </w:pPr>
      <w:r>
        <w:t>联系我们</w:t>
      </w:r>
    </w:p>
    <w:p>
      <w:r>
        <w:t>电话:13264129618（同微信）</w:t>
      </w:r>
    </w:p>
    <w:p>
      <w:r>
        <w:t>邮箱:GraphTalking@outlook.com</w:t>
      </w:r>
    </w:p>
    <w:p>
      <w:r>
        <w:t>地址:北京市昌平区新龙大厦B2座</w:t>
      </w:r>
    </w:p>
    <w:p>
      <w:r>
        <w:t>官网:https://www.graphtalking.com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color w:val="44444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1B234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F671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1B234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微软雅黑" w:hAnsi="微软雅黑" w:eastAsia="微软雅黑"/>
      <w:b/>
      <w:color w:val="1B234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